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OLE_LINK5"/>
      <w:bookmarkStart w:id="1" w:name="OLE_LINK6"/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3GPP TSG-RAN WG4 Meeting #94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R4-2000052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Online</w:t>
      </w:r>
      <w:bookmarkStart w:id="3" w:name="_GoBack"/>
      <w:bookmarkEnd w:id="3"/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24 - 28 February, 2020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MT timing requirements for IAB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8.5.5.2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93 meeting, the issue of IAB MT timing requirement has been discussed [1]. Some companies proposed to reuse Rel-15 UE requirements while it was pointed out by some companies [2] that the SMTC configured for IAB MT can be larger than 160 ms. In this paper, we tend to discuss this issue and provide our view.</w:t>
      </w:r>
    </w:p>
    <w:p>
      <w:pPr>
        <w:pStyle w:val="27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IAB MT timing</w:t>
      </w:r>
    </w:p>
    <w:p>
      <w:pPr>
        <w:pStyle w:val="27"/>
        <w:numPr>
          <w:ilvl w:val="0"/>
          <w:numId w:val="0"/>
        </w:numPr>
        <w:ind w:leftChars="0"/>
        <w:jc w:val="both"/>
        <w:rPr>
          <w:rFonts w:hint="default" w:ascii="Times New Roman" w:hAnsi="Times New Roman" w:eastAsia="宋体" w:cstheme="minorBidi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cstheme="minorBidi"/>
          <w:sz w:val="22"/>
          <w:szCs w:val="22"/>
          <w:lang w:val="en-US" w:eastAsia="zh-CN" w:bidi="ar-SA"/>
        </w:rPr>
        <w:t>The following agreements were made during RAN1 96 meeting [3]:</w:t>
      </w:r>
    </w:p>
    <w:tbl>
      <w:tblPr>
        <w:tblStyle w:val="22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green"/>
              </w:rPr>
              <w:t>Agreements</w:t>
            </w:r>
            <w:r>
              <w:rPr>
                <w:rFonts w:ascii="Times New Roman" w:hAnsi="Times New Roman"/>
                <w:szCs w:val="20"/>
              </w:rPr>
              <w:t>:</w:t>
            </w:r>
          </w:p>
          <w:p>
            <w:pPr>
              <w:pStyle w:val="66"/>
              <w:numPr>
                <w:ilvl w:val="0"/>
                <w:numId w:val="7"/>
              </w:numPr>
              <w:spacing w:before="0" w:after="0"/>
              <w:ind w:firstLineChars="0"/>
              <w:rPr>
                <w:rFonts w:cs="Times New Roman"/>
              </w:rPr>
            </w:pPr>
            <w:r>
              <w:rPr>
                <w:rFonts w:cs="Times New Roman"/>
              </w:rPr>
              <w:t>Existing NR mechanisms are used by the network to signal to IAB MTs the SSB periodicity for cell re-selection.</w:t>
            </w:r>
          </w:p>
          <w:p>
            <w:pPr>
              <w:pStyle w:val="66"/>
              <w:numPr>
                <w:ilvl w:val="0"/>
                <w:numId w:val="7"/>
              </w:numPr>
              <w:spacing w:before="0" w:after="0"/>
              <w:ind w:firstLineChars="0"/>
              <w:rPr>
                <w:rFonts w:cs="Times New Roman"/>
              </w:rPr>
            </w:pPr>
            <w:r>
              <w:rPr>
                <w:rFonts w:cs="Times New Roman"/>
              </w:rPr>
              <w:t>The IAB-node MT initial access assumption that half frames with SS/PBCH blocks occur with a periodicity of 16 frames does not have an impact on cell re-selection.</w:t>
            </w:r>
          </w:p>
          <w:p>
            <w:pPr>
              <w:rPr>
                <w:rFonts w:ascii="Times New Roman" w:hAnsi="Times New Roman"/>
                <w:szCs w:val="20"/>
                <w:highlight w:val="green"/>
              </w:rPr>
            </w:pPr>
          </w:p>
          <w:p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szCs w:val="20"/>
                <w:highlight w:val="green"/>
              </w:rPr>
              <w:t>Agreement</w:t>
            </w:r>
            <w:r>
              <w:rPr>
                <w:rFonts w:ascii="Times New Roman" w:hAnsi="Times New Roman"/>
                <w:b/>
                <w:szCs w:val="20"/>
              </w:rPr>
              <w:t>:</w:t>
            </w:r>
          </w:p>
          <w:p>
            <w:pPr>
              <w:rPr>
                <w:rFonts w:hint="eastAsia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szCs w:val="20"/>
              </w:rPr>
              <w:t xml:space="preserve">The IAB-node MT initial access assumption that half frames with SS/PBCH blocks occur with a periodicity of 16 frames does not have an impact on backhaul link rerouting to a new parent node in response to a failure in the link to the current parent node. </w:t>
            </w:r>
          </w:p>
        </w:tc>
      </w:tr>
    </w:tbl>
    <w:p>
      <w:pPr>
        <w:rPr>
          <w:rFonts w:hint="eastAsia" w:eastAsia="宋体"/>
          <w:sz w:val="22"/>
          <w:szCs w:val="22"/>
          <w:lang w:val="en-US" w:eastAsia="zh-CN"/>
        </w:rPr>
      </w:pP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According to RAN1 agreement, the SSB periodicity for IAB MT is 160 ms, which is the same as for Rel-15 UE. The timing requirement Te basically relies on reception of SSBs with a certain periodicity. Thus, if the IAB MT can receive SSB at least in every 160 ms, the timing requirement, namely Te, shall remain the same as for a Rel-15 UE.</w:t>
      </w:r>
    </w:p>
    <w:p>
      <w:pPr>
        <w:pStyle w:val="35"/>
        <w:rPr>
          <w:rFonts w:hint="eastAsia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Te requirement for IAB MT reuses Te requirement for Rel-15</w:t>
      </w: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Similar to discussions happened in NR-U, there were some options for the IAB MT when it can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meet the requirement of Te. Two of the options were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To allow IAB MT to transmit in uplink with a relaxed Te requirement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Not allow IAB MT to transmit in uplink </w:t>
      </w:r>
    </w:p>
    <w:p>
      <w:pPr>
        <w:numPr>
          <w:ilvl w:val="0"/>
          <w:numId w:val="0"/>
        </w:num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Similar to the previous discussions, we believe the Te requirement shouldn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be relaxed, as it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s already the bottom line for reliable transmission.</w:t>
      </w:r>
    </w:p>
    <w:p>
      <w:pPr>
        <w:pStyle w:val="35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IAB MT shall only transmit in uplink if it can meet Te requirement</w:t>
      </w: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5"/>
        <w:numPr>
          <w:ilvl w:val="0"/>
          <w:numId w:val="0"/>
        </w:numPr>
        <w:ind w:leftChars="0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/>
          <w:sz w:val="22"/>
          <w:szCs w:val="22"/>
          <w:lang w:val="en-US" w:eastAsia="zh-CN"/>
        </w:rPr>
        <w:t>The Te requirement for IAB MT reuses Te requirement for Rel-15</w:t>
      </w:r>
      <w:r>
        <w:rPr>
          <w:rFonts w:hint="eastAsia"/>
          <w:sz w:val="22"/>
          <w:szCs w:val="22"/>
          <w:lang w:val="en-US" w:eastAsia="zh-CN"/>
        </w:rPr>
        <w:t>.</w:t>
      </w:r>
    </w:p>
    <w:p>
      <w:pPr>
        <w:pStyle w:val="35"/>
        <w:numPr>
          <w:ilvl w:val="0"/>
          <w:numId w:val="0"/>
        </w:numPr>
        <w:ind w:leftChars="0"/>
        <w:rPr>
          <w:rFonts w:hint="default"/>
          <w:b w:val="0"/>
          <w:iCs w:val="0"/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Proposal 2: </w:t>
      </w:r>
      <w:r>
        <w:rPr>
          <w:rFonts w:hint="eastAsia" w:eastAsia="宋体"/>
          <w:sz w:val="22"/>
          <w:szCs w:val="22"/>
          <w:lang w:val="en-US" w:eastAsia="zh-CN"/>
        </w:rPr>
        <w:t>IAB MT shall only transmit in uplink if it can meet Te requirement.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" w:name="_Ref2843888"/>
      <w:r>
        <w:rPr>
          <w:rFonts w:hint="eastAsia"/>
          <w:lang w:val="en-GB"/>
        </w:rPr>
        <w:t>R4-1915799</w:t>
      </w:r>
    </w:p>
    <w:p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 w:eastAsia="宋体"/>
          <w:lang w:val="en-US" w:eastAsia="zh-CN"/>
        </w:rPr>
        <w:t>R4-1915005</w:t>
      </w:r>
      <w:bookmarkEnd w:id="2"/>
      <w:r>
        <w:rPr>
          <w:lang w:val="en-GB"/>
        </w:rPr>
        <w:t xml:space="preserve"> </w:t>
      </w:r>
    </w:p>
    <w:p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R1-1903842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123B88"/>
    <w:multiLevelType w:val="singleLevel"/>
    <w:tmpl w:val="99123B88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EFC13D89"/>
    <w:multiLevelType w:val="singleLevel"/>
    <w:tmpl w:val="EFC13D89"/>
    <w:lvl w:ilvl="0" w:tentative="0">
      <w:start w:val="2"/>
      <w:numFmt w:val="decimal"/>
      <w:lvlText w:val="%1"/>
      <w:lvlJc w:val="left"/>
    </w:lvl>
  </w:abstractNum>
  <w:abstractNum w:abstractNumId="2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FC3540"/>
    <w:multiLevelType w:val="multilevel"/>
    <w:tmpl w:val="0DFC354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660D4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16EDC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510722"/>
    <w:rsid w:val="02B274E2"/>
    <w:rsid w:val="02B92778"/>
    <w:rsid w:val="02C25D33"/>
    <w:rsid w:val="03C6506D"/>
    <w:rsid w:val="03F37217"/>
    <w:rsid w:val="04C77D0A"/>
    <w:rsid w:val="04D5204C"/>
    <w:rsid w:val="059B61E4"/>
    <w:rsid w:val="05A86143"/>
    <w:rsid w:val="06105DAC"/>
    <w:rsid w:val="062F1DED"/>
    <w:rsid w:val="069766CC"/>
    <w:rsid w:val="07502CA2"/>
    <w:rsid w:val="078B76F8"/>
    <w:rsid w:val="079D410C"/>
    <w:rsid w:val="080661C8"/>
    <w:rsid w:val="08641205"/>
    <w:rsid w:val="0868025F"/>
    <w:rsid w:val="0873226E"/>
    <w:rsid w:val="08935729"/>
    <w:rsid w:val="08C654D4"/>
    <w:rsid w:val="08CC5D10"/>
    <w:rsid w:val="092C45E6"/>
    <w:rsid w:val="099F556C"/>
    <w:rsid w:val="09C640C3"/>
    <w:rsid w:val="0A5763D4"/>
    <w:rsid w:val="0A7BF868"/>
    <w:rsid w:val="0B2F05F5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5237AB"/>
    <w:rsid w:val="0ED138E6"/>
    <w:rsid w:val="0EED584B"/>
    <w:rsid w:val="0F67780F"/>
    <w:rsid w:val="0F8F3C2A"/>
    <w:rsid w:val="0FB648CB"/>
    <w:rsid w:val="0FD0731A"/>
    <w:rsid w:val="0FF1533A"/>
    <w:rsid w:val="0FFE0AFA"/>
    <w:rsid w:val="10AA3C13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64F667E"/>
    <w:rsid w:val="165D0583"/>
    <w:rsid w:val="16654289"/>
    <w:rsid w:val="16B67BE7"/>
    <w:rsid w:val="16DB79C9"/>
    <w:rsid w:val="17141F2D"/>
    <w:rsid w:val="17A076C4"/>
    <w:rsid w:val="17A62BCE"/>
    <w:rsid w:val="17C22275"/>
    <w:rsid w:val="17E826AB"/>
    <w:rsid w:val="18D3414F"/>
    <w:rsid w:val="18D91924"/>
    <w:rsid w:val="19A96435"/>
    <w:rsid w:val="19FD6DB2"/>
    <w:rsid w:val="1A0B3A21"/>
    <w:rsid w:val="1B3329B5"/>
    <w:rsid w:val="1B5F4461"/>
    <w:rsid w:val="1B7F155B"/>
    <w:rsid w:val="1C6A6128"/>
    <w:rsid w:val="1C900E08"/>
    <w:rsid w:val="1D1F1294"/>
    <w:rsid w:val="1E8806BC"/>
    <w:rsid w:val="1EA137E3"/>
    <w:rsid w:val="1EE66AFB"/>
    <w:rsid w:val="1F0936F5"/>
    <w:rsid w:val="1F17474D"/>
    <w:rsid w:val="1F2B10F9"/>
    <w:rsid w:val="1F711839"/>
    <w:rsid w:val="1F7A764D"/>
    <w:rsid w:val="200D067C"/>
    <w:rsid w:val="20811B82"/>
    <w:rsid w:val="20A662B2"/>
    <w:rsid w:val="21091739"/>
    <w:rsid w:val="211451D0"/>
    <w:rsid w:val="2151075A"/>
    <w:rsid w:val="219E74A3"/>
    <w:rsid w:val="220539DF"/>
    <w:rsid w:val="22571B82"/>
    <w:rsid w:val="22920D1D"/>
    <w:rsid w:val="22C0245E"/>
    <w:rsid w:val="23514077"/>
    <w:rsid w:val="23855295"/>
    <w:rsid w:val="23B20773"/>
    <w:rsid w:val="23CF6D67"/>
    <w:rsid w:val="248F188B"/>
    <w:rsid w:val="24E91488"/>
    <w:rsid w:val="25077EC5"/>
    <w:rsid w:val="25151459"/>
    <w:rsid w:val="25630107"/>
    <w:rsid w:val="25962669"/>
    <w:rsid w:val="25B503FE"/>
    <w:rsid w:val="25C20278"/>
    <w:rsid w:val="262D62D9"/>
    <w:rsid w:val="26681CAB"/>
    <w:rsid w:val="267E5FCE"/>
    <w:rsid w:val="27572E0B"/>
    <w:rsid w:val="27C81D31"/>
    <w:rsid w:val="280C272A"/>
    <w:rsid w:val="28352D10"/>
    <w:rsid w:val="284E33F7"/>
    <w:rsid w:val="286A763B"/>
    <w:rsid w:val="287A3770"/>
    <w:rsid w:val="293606FA"/>
    <w:rsid w:val="29517179"/>
    <w:rsid w:val="29E7086A"/>
    <w:rsid w:val="2A1219AD"/>
    <w:rsid w:val="2A394321"/>
    <w:rsid w:val="2AE26D3F"/>
    <w:rsid w:val="2AF8774D"/>
    <w:rsid w:val="2B0F6E62"/>
    <w:rsid w:val="2B4E55E6"/>
    <w:rsid w:val="2B7579C5"/>
    <w:rsid w:val="2BB04900"/>
    <w:rsid w:val="2C3A3275"/>
    <w:rsid w:val="2C495744"/>
    <w:rsid w:val="2CEE6B8D"/>
    <w:rsid w:val="2D233DAE"/>
    <w:rsid w:val="2D8E403A"/>
    <w:rsid w:val="2E0770FA"/>
    <w:rsid w:val="2E145F76"/>
    <w:rsid w:val="2E610B2D"/>
    <w:rsid w:val="2EA86D09"/>
    <w:rsid w:val="2F32226B"/>
    <w:rsid w:val="2F376D10"/>
    <w:rsid w:val="2FA231C5"/>
    <w:rsid w:val="308B65F2"/>
    <w:rsid w:val="3117229F"/>
    <w:rsid w:val="31395268"/>
    <w:rsid w:val="31950F1B"/>
    <w:rsid w:val="31A50177"/>
    <w:rsid w:val="320F0A18"/>
    <w:rsid w:val="32351CB2"/>
    <w:rsid w:val="324554E5"/>
    <w:rsid w:val="325D2B5A"/>
    <w:rsid w:val="327661FC"/>
    <w:rsid w:val="3288676B"/>
    <w:rsid w:val="32A12F92"/>
    <w:rsid w:val="32B33B5A"/>
    <w:rsid w:val="32EE27B2"/>
    <w:rsid w:val="33245EFA"/>
    <w:rsid w:val="33372789"/>
    <w:rsid w:val="333876C2"/>
    <w:rsid w:val="33484A1E"/>
    <w:rsid w:val="335F47E9"/>
    <w:rsid w:val="34057000"/>
    <w:rsid w:val="346E4104"/>
    <w:rsid w:val="3476470C"/>
    <w:rsid w:val="34D83C16"/>
    <w:rsid w:val="3509315E"/>
    <w:rsid w:val="351A4CC6"/>
    <w:rsid w:val="37705F34"/>
    <w:rsid w:val="377700B0"/>
    <w:rsid w:val="37846083"/>
    <w:rsid w:val="37AF7036"/>
    <w:rsid w:val="380927B5"/>
    <w:rsid w:val="3876150B"/>
    <w:rsid w:val="392739EA"/>
    <w:rsid w:val="392D38AD"/>
    <w:rsid w:val="3946679B"/>
    <w:rsid w:val="399A43EA"/>
    <w:rsid w:val="3A0F1960"/>
    <w:rsid w:val="3A166029"/>
    <w:rsid w:val="3A364B42"/>
    <w:rsid w:val="3AF216E5"/>
    <w:rsid w:val="3B30671A"/>
    <w:rsid w:val="3B5662AC"/>
    <w:rsid w:val="3C727D51"/>
    <w:rsid w:val="3CCE203C"/>
    <w:rsid w:val="3CF85FE3"/>
    <w:rsid w:val="3D0C1655"/>
    <w:rsid w:val="3D4E48C8"/>
    <w:rsid w:val="3D77737D"/>
    <w:rsid w:val="3DC04E13"/>
    <w:rsid w:val="3DD244E7"/>
    <w:rsid w:val="3E5B41D6"/>
    <w:rsid w:val="3ECE16FA"/>
    <w:rsid w:val="3F072EB0"/>
    <w:rsid w:val="3FF55768"/>
    <w:rsid w:val="40566CBF"/>
    <w:rsid w:val="405B0BEF"/>
    <w:rsid w:val="407921CE"/>
    <w:rsid w:val="40C04FE0"/>
    <w:rsid w:val="41AA7137"/>
    <w:rsid w:val="41EC58FB"/>
    <w:rsid w:val="42381A71"/>
    <w:rsid w:val="426B0C9E"/>
    <w:rsid w:val="42841694"/>
    <w:rsid w:val="429266C7"/>
    <w:rsid w:val="42AF1322"/>
    <w:rsid w:val="42B30ACF"/>
    <w:rsid w:val="42E73C10"/>
    <w:rsid w:val="430903EA"/>
    <w:rsid w:val="43140EC2"/>
    <w:rsid w:val="43EE582E"/>
    <w:rsid w:val="43F92766"/>
    <w:rsid w:val="43FB3DA4"/>
    <w:rsid w:val="44022066"/>
    <w:rsid w:val="441C4006"/>
    <w:rsid w:val="449E489D"/>
    <w:rsid w:val="44B24294"/>
    <w:rsid w:val="451019FB"/>
    <w:rsid w:val="455B13AC"/>
    <w:rsid w:val="45CF3CD0"/>
    <w:rsid w:val="460567D8"/>
    <w:rsid w:val="462F25DF"/>
    <w:rsid w:val="46620161"/>
    <w:rsid w:val="477A6D83"/>
    <w:rsid w:val="47C304FD"/>
    <w:rsid w:val="47C357A6"/>
    <w:rsid w:val="47D77F02"/>
    <w:rsid w:val="487C3875"/>
    <w:rsid w:val="48977283"/>
    <w:rsid w:val="48B801BF"/>
    <w:rsid w:val="48FA3778"/>
    <w:rsid w:val="49896512"/>
    <w:rsid w:val="4996414B"/>
    <w:rsid w:val="49BA3D71"/>
    <w:rsid w:val="4A5C70F1"/>
    <w:rsid w:val="4A805DC0"/>
    <w:rsid w:val="4AB61A05"/>
    <w:rsid w:val="4AD94792"/>
    <w:rsid w:val="4AF26B9D"/>
    <w:rsid w:val="4BB65435"/>
    <w:rsid w:val="4BCE1489"/>
    <w:rsid w:val="4BEA1EE4"/>
    <w:rsid w:val="4BFB2D49"/>
    <w:rsid w:val="4C293566"/>
    <w:rsid w:val="4C5C7DE3"/>
    <w:rsid w:val="4C723787"/>
    <w:rsid w:val="4CF05EAC"/>
    <w:rsid w:val="4D102CB4"/>
    <w:rsid w:val="4D9E609E"/>
    <w:rsid w:val="4E0243C8"/>
    <w:rsid w:val="4EA61F19"/>
    <w:rsid w:val="4EB053BD"/>
    <w:rsid w:val="4FBC6FAF"/>
    <w:rsid w:val="4FDC68F3"/>
    <w:rsid w:val="4FEB523B"/>
    <w:rsid w:val="50005DA1"/>
    <w:rsid w:val="502A6272"/>
    <w:rsid w:val="5041435B"/>
    <w:rsid w:val="50564CCA"/>
    <w:rsid w:val="505A1CB0"/>
    <w:rsid w:val="509778C7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832E83"/>
    <w:rsid w:val="53C44BEA"/>
    <w:rsid w:val="53D45151"/>
    <w:rsid w:val="540D782C"/>
    <w:rsid w:val="542835DF"/>
    <w:rsid w:val="542F1421"/>
    <w:rsid w:val="544B51D2"/>
    <w:rsid w:val="544D013B"/>
    <w:rsid w:val="546C32BA"/>
    <w:rsid w:val="55352F87"/>
    <w:rsid w:val="5553143F"/>
    <w:rsid w:val="55B42DC5"/>
    <w:rsid w:val="56E81135"/>
    <w:rsid w:val="57221ADC"/>
    <w:rsid w:val="573B229E"/>
    <w:rsid w:val="586B2608"/>
    <w:rsid w:val="58E20C36"/>
    <w:rsid w:val="592D7AE2"/>
    <w:rsid w:val="593554F0"/>
    <w:rsid w:val="5A3078C5"/>
    <w:rsid w:val="5AAC4CA7"/>
    <w:rsid w:val="5ADF3A74"/>
    <w:rsid w:val="5AE53367"/>
    <w:rsid w:val="5B0B0083"/>
    <w:rsid w:val="5BC0364C"/>
    <w:rsid w:val="5BC3228B"/>
    <w:rsid w:val="5C3B1FEA"/>
    <w:rsid w:val="5C6A01BF"/>
    <w:rsid w:val="5D041ECD"/>
    <w:rsid w:val="5E2D4C21"/>
    <w:rsid w:val="5EE41E2E"/>
    <w:rsid w:val="5F0F00DA"/>
    <w:rsid w:val="5F5E6814"/>
    <w:rsid w:val="60017F85"/>
    <w:rsid w:val="6045086B"/>
    <w:rsid w:val="60745B63"/>
    <w:rsid w:val="61051332"/>
    <w:rsid w:val="613A35CD"/>
    <w:rsid w:val="62302F88"/>
    <w:rsid w:val="62812953"/>
    <w:rsid w:val="62B7743E"/>
    <w:rsid w:val="64116858"/>
    <w:rsid w:val="648D5222"/>
    <w:rsid w:val="64B2258D"/>
    <w:rsid w:val="64D35246"/>
    <w:rsid w:val="65997784"/>
    <w:rsid w:val="65C64C37"/>
    <w:rsid w:val="661E18B5"/>
    <w:rsid w:val="66AB371C"/>
    <w:rsid w:val="66AE1192"/>
    <w:rsid w:val="66C26880"/>
    <w:rsid w:val="66CA69C3"/>
    <w:rsid w:val="67DA4215"/>
    <w:rsid w:val="67E42DFA"/>
    <w:rsid w:val="680A09E1"/>
    <w:rsid w:val="6860443E"/>
    <w:rsid w:val="68EB3ADC"/>
    <w:rsid w:val="69462386"/>
    <w:rsid w:val="6A7016FE"/>
    <w:rsid w:val="6AFC6812"/>
    <w:rsid w:val="6B5E2EC6"/>
    <w:rsid w:val="6C42065A"/>
    <w:rsid w:val="6C6F44FD"/>
    <w:rsid w:val="6CD4731D"/>
    <w:rsid w:val="6D121910"/>
    <w:rsid w:val="6D3205F0"/>
    <w:rsid w:val="6DB702B4"/>
    <w:rsid w:val="6E504618"/>
    <w:rsid w:val="6EB20078"/>
    <w:rsid w:val="6F5579D7"/>
    <w:rsid w:val="6F571E7B"/>
    <w:rsid w:val="6F801AF8"/>
    <w:rsid w:val="6F8906F0"/>
    <w:rsid w:val="6F8D5AAE"/>
    <w:rsid w:val="6FFF59CB"/>
    <w:rsid w:val="70160759"/>
    <w:rsid w:val="70200B37"/>
    <w:rsid w:val="7037013D"/>
    <w:rsid w:val="704E4A67"/>
    <w:rsid w:val="70995673"/>
    <w:rsid w:val="70AA0AC2"/>
    <w:rsid w:val="70EA7511"/>
    <w:rsid w:val="71143E21"/>
    <w:rsid w:val="72867A39"/>
    <w:rsid w:val="72EE3608"/>
    <w:rsid w:val="7327462F"/>
    <w:rsid w:val="732F59FD"/>
    <w:rsid w:val="732F7900"/>
    <w:rsid w:val="734B5574"/>
    <w:rsid w:val="7355417D"/>
    <w:rsid w:val="736C3FBB"/>
    <w:rsid w:val="73A85DC8"/>
    <w:rsid w:val="73C32C41"/>
    <w:rsid w:val="74573DE9"/>
    <w:rsid w:val="749900DE"/>
    <w:rsid w:val="74D53B99"/>
    <w:rsid w:val="753A7704"/>
    <w:rsid w:val="754C1AAF"/>
    <w:rsid w:val="76766A5E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8384CBC"/>
    <w:rsid w:val="784258BF"/>
    <w:rsid w:val="793758F2"/>
    <w:rsid w:val="79DC6C3F"/>
    <w:rsid w:val="79ED4DBE"/>
    <w:rsid w:val="7A250260"/>
    <w:rsid w:val="7A787ECB"/>
    <w:rsid w:val="7A8B51CB"/>
    <w:rsid w:val="7AB507FA"/>
    <w:rsid w:val="7AC634CB"/>
    <w:rsid w:val="7C3A7105"/>
    <w:rsid w:val="7C41564D"/>
    <w:rsid w:val="7C4779C9"/>
    <w:rsid w:val="7C8E16C9"/>
    <w:rsid w:val="7CB561C0"/>
    <w:rsid w:val="7CCC277F"/>
    <w:rsid w:val="7CE3033A"/>
    <w:rsid w:val="7D0A2590"/>
    <w:rsid w:val="7D54493D"/>
    <w:rsid w:val="7D550752"/>
    <w:rsid w:val="7D6A7A29"/>
    <w:rsid w:val="7DCC5A45"/>
    <w:rsid w:val="7E8B6D0C"/>
    <w:rsid w:val="7F285EA4"/>
    <w:rsid w:val="7F787EDB"/>
    <w:rsid w:val="7FD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9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character" w:styleId="18">
    <w:name w:val="FollowedHyperlink"/>
    <w:basedOn w:val="1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basedOn w:val="17"/>
    <w:semiHidden/>
    <w:unhideWhenUsed/>
    <w:qFormat/>
    <w:uiPriority w:val="99"/>
    <w:rPr>
      <w:sz w:val="16"/>
      <w:szCs w:val="16"/>
    </w:rPr>
  </w:style>
  <w:style w:type="table" w:styleId="22">
    <w:name w:val="Table Grid"/>
    <w:basedOn w:val="21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3">
    <w:name w:val="Heading 2 Char"/>
    <w:basedOn w:val="17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7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7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8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7"/>
    <w:link w:val="8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7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7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7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7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7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7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9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1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 w:cs="Batang"/>
      <w:szCs w:val="20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5355</Characters>
  <Lines>44</Lines>
  <Paragraphs>12</Paragraphs>
  <TotalTime>0</TotalTime>
  <ScaleCrop>false</ScaleCrop>
  <LinksUpToDate>false</LinksUpToDate>
  <CharactersWithSpaces>6220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Richie Leo (ZTE)</cp:lastModifiedBy>
  <cp:lastPrinted>2019-04-29T06:52:00Z</cp:lastPrinted>
  <dcterms:modified xsi:type="dcterms:W3CDTF">2020-02-10T09:30:11Z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2052-10.8.2.7027</vt:lpwstr>
  </property>
</Properties>
</file>